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558" w:rsidRDefault="00C11EB4">
      <w:pPr>
        <w:pStyle w:val="Heading1"/>
        <w:keepNext/>
      </w:pPr>
      <w:bookmarkStart w:id="0" w:name="_GoBack"/>
      <w:bookmarkEnd w:id="0"/>
      <w:r>
        <w:t>Pupil premium strategy statement – Norton Primary School</w:t>
      </w:r>
    </w:p>
    <w:p w:rsidR="004B1F58" w:rsidRDefault="004B1F58" w:rsidP="004B1F58">
      <w:pPr>
        <w:spacing w:after="0"/>
      </w:pPr>
    </w:p>
    <w:p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rsidR="00E66558" w:rsidRDefault="009D71E8">
      <w:pPr>
        <w:pStyle w:val="Heading2"/>
      </w:pPr>
      <w:r>
        <w:t>School overview</w:t>
      </w:r>
    </w:p>
    <w:tbl>
      <w:tblPr>
        <w:tblW w:w="5000" w:type="pct"/>
        <w:tblCellMar>
          <w:left w:w="10" w:type="dxa"/>
          <w:right w:w="10" w:type="dxa"/>
        </w:tblCellMar>
        <w:tblLook w:val="04A0" w:firstRow="1" w:lastRow="0" w:firstColumn="1" w:lastColumn="0" w:noHBand="0" w:noVBand="1"/>
      </w:tblPr>
      <w:tblGrid>
        <w:gridCol w:w="6788"/>
        <w:gridCol w:w="3092"/>
      </w:tblGrid>
      <w:tr w:rsidR="00E66558" w:rsidTr="3C5A6419">
        <w:trPr>
          <w:tblHeader/>
        </w:trP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2"/>
            <w:tcMar>
              <w:top w:w="0" w:type="dxa"/>
              <w:left w:w="108" w:type="dxa"/>
              <w:bottom w:w="0" w:type="dxa"/>
              <w:right w:w="108" w:type="dxa"/>
            </w:tcMar>
            <w:vAlign w:val="center"/>
          </w:tcPr>
          <w:p w:rsidR="00167D7E" w:rsidRDefault="0095100C">
            <w:pPr>
              <w:spacing w:after="0"/>
            </w:pPr>
            <w:r>
              <w:rPr>
                <w:b/>
                <w:sz w:val="19"/>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2"/>
            <w:tcMar>
              <w:top w:w="0" w:type="dxa"/>
              <w:left w:w="108" w:type="dxa"/>
              <w:bottom w:w="0" w:type="dxa"/>
              <w:right w:w="108" w:type="dxa"/>
            </w:tcMar>
            <w:vAlign w:val="center"/>
          </w:tcPr>
          <w:p w:rsidR="00167D7E" w:rsidRDefault="0095100C">
            <w:pPr>
              <w:spacing w:after="0"/>
            </w:pPr>
            <w:r>
              <w:rPr>
                <w:b/>
                <w:sz w:val="19"/>
              </w:rPr>
              <w:t>Data</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15</w:t>
            </w:r>
            <w:r w:rsidR="005C573D">
              <w:rPr>
                <w:sz w:val="19"/>
              </w:rPr>
              <w:t>9</w:t>
            </w:r>
            <w:r>
              <w:rPr>
                <w:sz w:val="19"/>
              </w:rPr>
              <w:t xml:space="preserve"> </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1</w:t>
            </w:r>
            <w:r w:rsidR="00FB04CB">
              <w:rPr>
                <w:sz w:val="19"/>
              </w:rPr>
              <w:t>3</w:t>
            </w:r>
            <w:r>
              <w:rPr>
                <w:sz w:val="19"/>
              </w:rPr>
              <w:t xml:space="preserve">% </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Academic year/years that our current pupil premium strategy plan covers (3-year plans are recommended – an updated statement must still be published each academic year)</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2026/27 to 2028/29</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B618FC">
            <w:pPr>
              <w:spacing w:after="0"/>
            </w:pPr>
            <w:r>
              <w:rPr>
                <w:sz w:val="19"/>
              </w:rPr>
              <w:t xml:space="preserve">September </w:t>
            </w:r>
            <w:r w:rsidR="0095100C">
              <w:rPr>
                <w:sz w:val="19"/>
              </w:rPr>
              <w:t>2026</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July 2027 (with termly monitoring)</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Jane Farren, Headteacher</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Jane Farren, Headteacher</w:t>
            </w:r>
          </w:p>
        </w:tc>
      </w:tr>
      <w:tr w:rsidR="002940F3"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Governor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Fiona Phelps</w:t>
            </w:r>
          </w:p>
        </w:tc>
      </w:tr>
    </w:tbl>
    <w:p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709C33EC">
        <w:trPr>
          <w:trHeight w:val="374"/>
          <w:tblHeader/>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2"/>
            <w:tcMar>
              <w:top w:w="0" w:type="dxa"/>
              <w:left w:w="108" w:type="dxa"/>
              <w:bottom w:w="0" w:type="dxa"/>
              <w:right w:w="108" w:type="dxa"/>
            </w:tcMar>
            <w:vAlign w:val="center"/>
          </w:tcPr>
          <w:p w:rsidR="00167D7E" w:rsidRDefault="0095100C">
            <w:pPr>
              <w:spacing w:after="0"/>
            </w:pPr>
            <w:r>
              <w:rPr>
                <w:b/>
                <w:sz w:val="19"/>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F2"/>
            <w:tcMar>
              <w:top w:w="0" w:type="dxa"/>
              <w:left w:w="108" w:type="dxa"/>
              <w:bottom w:w="0" w:type="dxa"/>
              <w:right w:w="108" w:type="dxa"/>
            </w:tcMar>
            <w:vAlign w:val="center"/>
          </w:tcPr>
          <w:p w:rsidR="00167D7E" w:rsidRDefault="0095100C">
            <w:pPr>
              <w:spacing w:after="0"/>
            </w:pPr>
            <w:r>
              <w:rPr>
                <w:b/>
                <w:sz w:val="19"/>
              </w:rPr>
              <w:t>Amount</w:t>
            </w:r>
          </w:p>
        </w:tc>
      </w:tr>
      <w:tr w:rsidR="00E66558"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w:t>
            </w:r>
            <w:r w:rsidR="00717232">
              <w:rPr>
                <w:sz w:val="19"/>
              </w:rPr>
              <w:t>26.300</w:t>
            </w:r>
          </w:p>
        </w:tc>
      </w:tr>
      <w:tr w:rsidR="00E66558"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Pupil premium funding carried forward from previous years</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£0 (confirm before publication)</w:t>
            </w:r>
          </w:p>
        </w:tc>
      </w:tr>
      <w:tr w:rsidR="00E66558"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Total budget for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w:t>
            </w:r>
            <w:r w:rsidR="00717232">
              <w:rPr>
                <w:sz w:val="19"/>
              </w:rPr>
              <w:t>26.300</w:t>
            </w:r>
          </w:p>
        </w:tc>
      </w:tr>
    </w:tbl>
    <w:p w:rsidR="00E66558" w:rsidRDefault="009D71E8">
      <w:pPr>
        <w:pStyle w:val="Heading1"/>
        <w:keepNext/>
      </w:pPr>
      <w:r>
        <w:lastRenderedPageBreak/>
        <w:t>Part A: Pupil premium strategy plan</w:t>
      </w:r>
    </w:p>
    <w:p w:rsidR="00E66558" w:rsidRDefault="009D71E8">
      <w:pPr>
        <w:pStyle w:val="Heading2"/>
      </w:pPr>
      <w:bookmarkStart w:id="1" w:name="_Toc357771640"/>
      <w:bookmarkStart w:id="2"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Our intention is that every pupil, irrespective of background or the challenges they face, makes strong progress from their starting points and achieves well across the curriculum. The central aim of this strategy is to improve educational outcomes for disadvantaged pupils, including those who are already attaining well. We also consider pupils with a social worker, young carers, Gypsy, Roma and Traveller pupils, and other pupils facing identified barriers, whether or not they attract pupil premium.</w:t>
            </w:r>
            <w:r>
              <w:rPr>
                <w:sz w:val="19"/>
              </w:rPr>
              <w:br/>
            </w:r>
            <w:r>
              <w:rPr>
                <w:sz w:val="19"/>
              </w:rPr>
              <w:br/>
              <w:t>Our approach is based on diagnosis, not assumptions. Leaders use assessment, attendance information, SEND and pastoral records, classroom observation, book scrutiny, and discussion with pupils, families and staff to identify need. Because Norton has a small disadvantaged cohort, percentages are interpreted cautiously and triangulated with individual-level evidence.</w:t>
            </w:r>
            <w:r>
              <w:rPr>
                <w:sz w:val="19"/>
              </w:rPr>
              <w:br/>
            </w:r>
            <w:r>
              <w:rPr>
                <w:sz w:val="19"/>
              </w:rPr>
              <w:br/>
              <w:t>High-quality, inclusive teaching is the first priority. Staff development, precise assessment and adaptive teaching are supplemented by timely, structured academic support and work to improve attendance and wellbeing. Support is planned so that pupils remain connected to their class and do not routinely miss important curriculum content.</w:t>
            </w:r>
            <w:r>
              <w:rPr>
                <w:sz w:val="19"/>
              </w:rPr>
              <w:br/>
            </w:r>
            <w:r>
              <w:rPr>
                <w:sz w:val="19"/>
              </w:rPr>
              <w:br/>
              <w:t>To secure effective implementation, we will: prioritise language, reading and mathematics; intervene early when need is identified; maintain high expectations, including for higher attainment; ensure all staff take collective responsibility for disadvantaged pupils; monitor delivery and impact termly; and adapt or stop approaches where evidence shows insufficient impact.</w:t>
            </w:r>
          </w:p>
        </w:tc>
      </w:tr>
    </w:tbl>
    <w:p w:rsidR="00E66558" w:rsidRDefault="009D71E8">
      <w:pPr>
        <w:pStyle w:val="Heading2"/>
        <w:spacing w:before="600"/>
      </w:pPr>
      <w:r>
        <w:t>Challenges</w:t>
      </w:r>
    </w:p>
    <w:p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538"/>
        <w:gridCol w:w="8342"/>
      </w:tblGrid>
      <w:tr w:rsidR="00E66558" w:rsidTr="00CA4421">
        <w:trPr>
          <w:tblHeader/>
        </w:trPr>
        <w:tc>
          <w:tcPr>
            <w:tcW w:w="1477"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Detail of challenge</w:t>
            </w:r>
          </w:p>
        </w:tc>
      </w:tr>
      <w:tr w:rsidR="00E66558">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Assessment, observation and discussion indicate that some disadvantaged and vulnerable pupils have weaker speech, language, communication and vocabulary than their peers. This can restrict access to learning from Reception to Key Stage 2.</w:t>
            </w:r>
          </w:p>
        </w:tc>
      </w:tr>
      <w:tr w:rsidR="00E66558">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Attendance and persistent absence for a small number of disadvantaged and vulnerable pupils lead to gaps in knowledge and reduced participation in the full curriculum</w:t>
            </w:r>
            <w:r w:rsidR="00B618FC">
              <w:rPr>
                <w:sz w:val="19"/>
              </w:rPr>
              <w:t xml:space="preserve"> this is particularly the case for our Gypsy Roma Traveller pupils who make up around a third of the school. </w:t>
            </w:r>
          </w:p>
        </w:tc>
      </w:tr>
      <w:tr w:rsidR="00E66558">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Internal and external assessment indicate variable attainment and progress. Some disadvantaged pupils need additional support to secure core knowledge in reading, writing and mathematics; fewer sustain the depth of understanding needed for higher attainment.</w:t>
            </w:r>
          </w:p>
        </w:tc>
      </w:tr>
      <w:tr w:rsidR="00E66558">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A significant proportion of disadvantaged pupils also have SEND. The interaction between disadvantage and additional needs can create compounded barriers to participation, independence and progress.</w:t>
            </w:r>
          </w:p>
        </w:tc>
      </w:tr>
    </w:tbl>
    <w:p w:rsidR="00E66558" w:rsidRDefault="009D71E8">
      <w:pPr>
        <w:pStyle w:val="Heading2"/>
        <w:spacing w:before="600"/>
      </w:pPr>
      <w:r>
        <w:t xml:space="preserve">Intended </w:t>
      </w:r>
      <w:r w:rsidRPr="00A968DA">
        <w:t>outcomes</w:t>
      </w:r>
      <w:r>
        <w:t xml:space="preserve"> </w:t>
      </w:r>
    </w:p>
    <w:p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5015"/>
        <w:gridCol w:w="4865"/>
      </w:tblGrid>
      <w:tr w:rsidR="00E66558" w:rsidTr="00CA4421">
        <w:trPr>
          <w:tblHeader/>
        </w:trPr>
        <w:tc>
          <w:tcPr>
            <w:tcW w:w="4815"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lastRenderedPageBreak/>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Success criteria by July 2029</w:t>
            </w:r>
          </w:p>
        </w:tc>
      </w:tr>
      <w:tr w:rsidR="00E66558">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Disadvantaged pupils improve their spoken language, communication and vocabulary so that they can participate confidently and access the curriculum.</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Diagnostic and formative assessments show sustained improvement from individual starting points. This is triangulated through lesson engagement, pupil voice, book scrutiny and teacher assessment.</w:t>
            </w:r>
          </w:p>
        </w:tc>
      </w:tr>
      <w:tr w:rsidR="00E66558">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Attendance improves and persistent absence reduces for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Attendance for disadvantaged pupils improves over time; the gap with other pupils narrows; persistent absence reduces. Individual attendance plans show timely action and improved engagement for identified pupils.</w:t>
            </w:r>
          </w:p>
        </w:tc>
      </w:tr>
      <w:tr w:rsidR="00E66558">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Disadvantaged pupils make strong progress in reading, writing and mathematics, including pupils capable of higher attainment.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Internal and published outcomes, interpreted in the context of small cohorts, show improving attainment and progress from starting points and a narrowing of material gaps. Monitoring shows disadvantaged pupils consistently receive appropriate challenge.</w:t>
            </w:r>
          </w:p>
        </w:tc>
      </w:tr>
      <w:tr w:rsidR="00E66558">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Disadvantaged pupils with SEND achieve ambitious, personalised outcomes and participate fully in school life.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Provision is matched to assessed need; support plans show progress towards precise outcomes; pupils increasingly work independently and access the full curriculum and enrichment offer.</w:t>
            </w:r>
          </w:p>
        </w:tc>
      </w:tr>
    </w:tbl>
    <w:p w:rsidR="00120AB1" w:rsidRDefault="00120AB1" w:rsidP="00ED5108"/>
    <w:p w:rsidR="00120AB1" w:rsidRDefault="00120AB1" w:rsidP="00BD4B12"/>
    <w:p w:rsidR="00E66558" w:rsidRDefault="009D71E8">
      <w:pPr>
        <w:pStyle w:val="Heading2"/>
      </w:pPr>
      <w:r>
        <w:t>Activity in this academic year</w:t>
      </w:r>
    </w:p>
    <w:p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rsidR="00E66558" w:rsidRDefault="009D71E8">
      <w:pPr>
        <w:pStyle w:val="Heading3"/>
      </w:pPr>
      <w:r>
        <w:t>Teaching (for example, CPD, recruitment and retention)</w:t>
      </w:r>
    </w:p>
    <w:p w:rsidR="00E66558" w:rsidRDefault="009D71E8">
      <w:r>
        <w:t>Budgeted cost: £10,000</w:t>
      </w:r>
    </w:p>
    <w:tbl>
      <w:tblPr>
        <w:tblW w:w="5000" w:type="pct"/>
        <w:tblCellMar>
          <w:left w:w="10" w:type="dxa"/>
          <w:right w:w="10" w:type="dxa"/>
        </w:tblCellMar>
        <w:tblLook w:val="04A0" w:firstRow="1" w:lastRow="0" w:firstColumn="1" w:lastColumn="0" w:noHBand="0" w:noVBand="1"/>
      </w:tblPr>
      <w:tblGrid>
        <w:gridCol w:w="2799"/>
        <w:gridCol w:w="4431"/>
        <w:gridCol w:w="2650"/>
      </w:tblGrid>
      <w:tr w:rsidR="00E66558" w:rsidTr="00CA4421">
        <w:trPr>
          <w:tblHeader/>
        </w:trPr>
        <w:tc>
          <w:tcPr>
            <w:tcW w:w="2688"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Strengthen mathematics teaching through Maths Hub professional development, Teaching for Mastery and effective use of White Rose materials. Leaders will monitor curriculum implementation, pupil work and assessment information.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DfE mathematics guidance and EEF guidance on improving mathematics support coherent curriculum planning, explicit teaching, formative assessment and professional development. This activity sits within the menu category: developing high-quality teaching, assessment and a curriculum which responds to pupils’ needs.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3, 4</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Develop consistent, inclusive teaching of vocabulary, oral language, reading and writing through staff development, modelling, purposeful classroom talk and responsive assessment.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EEF evidence indicates that oral-language approaches and high-quality literacy teaching can improve attainment, particularly when integrated with the curriculum. Menu category: developing high-quality teaching, assessment and curriculum.</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1, 3, 4</w:t>
            </w:r>
          </w:p>
        </w:tc>
      </w:tr>
      <w:tr w:rsidR="00167D7E">
        <w:tc>
          <w:tcPr>
            <w:tcW w:w="2688" w:type="dxa"/>
            <w:tcBorders>
              <w:top w:val="single" w:sz="4" w:space="0" w:color="000000"/>
              <w:left w:val="single" w:sz="4" w:space="0" w:color="000000"/>
              <w:bottom w:val="single" w:sz="4" w:space="0" w:color="000000"/>
              <w:right w:val="single" w:sz="4" w:space="0" w:color="000000"/>
            </w:tcBorders>
            <w:vAlign w:val="center"/>
          </w:tcPr>
          <w:p w:rsidR="00167D7E" w:rsidRDefault="0095100C">
            <w:pPr>
              <w:spacing w:after="0"/>
            </w:pPr>
            <w:r>
              <w:rPr>
                <w:sz w:val="19"/>
              </w:rPr>
              <w:t xml:space="preserve">Use diagnostic and formative assessment to identify misconceptions and barriers </w:t>
            </w:r>
            <w:r>
              <w:rPr>
                <w:sz w:val="19"/>
              </w:rPr>
              <w:lastRenderedPageBreak/>
              <w:t>early, followed by adaptive teaching and timely review.</w:t>
            </w:r>
          </w:p>
        </w:tc>
        <w:tc>
          <w:tcPr>
            <w:tcW w:w="4254" w:type="dxa"/>
            <w:tcBorders>
              <w:top w:val="single" w:sz="4" w:space="0" w:color="000000"/>
              <w:left w:val="single" w:sz="4" w:space="0" w:color="000000"/>
              <w:bottom w:val="single" w:sz="4" w:space="0" w:color="000000"/>
              <w:right w:val="single" w:sz="4" w:space="0" w:color="000000"/>
            </w:tcBorders>
            <w:vAlign w:val="center"/>
          </w:tcPr>
          <w:p w:rsidR="00167D7E" w:rsidRDefault="0095100C">
            <w:pPr>
              <w:spacing w:after="0"/>
            </w:pPr>
            <w:r>
              <w:rPr>
                <w:sz w:val="19"/>
              </w:rPr>
              <w:lastRenderedPageBreak/>
              <w:t xml:space="preserve">EEF diagnostic-assessment guidance emphasises using assessment to identify strengths and needs </w:t>
            </w:r>
            <w:r>
              <w:rPr>
                <w:sz w:val="19"/>
              </w:rPr>
              <w:lastRenderedPageBreak/>
              <w:t>and to inform teaching. Menu category: developing high-quality teaching, assessment and curriculum.</w:t>
            </w:r>
          </w:p>
        </w:tc>
        <w:tc>
          <w:tcPr>
            <w:tcW w:w="2544" w:type="dxa"/>
            <w:tcBorders>
              <w:top w:val="single" w:sz="4" w:space="0" w:color="000000"/>
              <w:left w:val="single" w:sz="4" w:space="0" w:color="000000"/>
              <w:bottom w:val="single" w:sz="4" w:space="0" w:color="000000"/>
              <w:right w:val="single" w:sz="4" w:space="0" w:color="000000"/>
            </w:tcBorders>
            <w:vAlign w:val="center"/>
          </w:tcPr>
          <w:p w:rsidR="00167D7E" w:rsidRDefault="0095100C">
            <w:pPr>
              <w:spacing w:after="0"/>
            </w:pPr>
            <w:r>
              <w:rPr>
                <w:sz w:val="19"/>
              </w:rPr>
              <w:lastRenderedPageBreak/>
              <w:t>1, 3, 4</w:t>
            </w:r>
          </w:p>
        </w:tc>
      </w:tr>
    </w:tbl>
    <w:p w:rsidR="00E66558" w:rsidRDefault="00E66558" w:rsidP="00ED5108"/>
    <w:p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rsidR="00E66558" w:rsidRDefault="009D71E8">
      <w:r>
        <w:t>Budgeted cost: £</w:t>
      </w:r>
      <w:r w:rsidR="00D572BE">
        <w:t>10</w:t>
      </w:r>
      <w:r>
        <w:t>,710</w:t>
      </w:r>
    </w:p>
    <w:tbl>
      <w:tblPr>
        <w:tblW w:w="5000" w:type="pct"/>
        <w:tblCellMar>
          <w:left w:w="10" w:type="dxa"/>
          <w:right w:w="10" w:type="dxa"/>
        </w:tblCellMar>
        <w:tblLook w:val="04A0" w:firstRow="1" w:lastRow="0" w:firstColumn="1" w:lastColumn="0" w:noHBand="0" w:noVBand="1"/>
      </w:tblPr>
      <w:tblGrid>
        <w:gridCol w:w="2799"/>
        <w:gridCol w:w="4431"/>
        <w:gridCol w:w="2650"/>
      </w:tblGrid>
      <w:tr w:rsidR="00E66558" w:rsidTr="00CA4421">
        <w:trPr>
          <w:tblHeader/>
        </w:trPr>
        <w:tc>
          <w:tcPr>
            <w:tcW w:w="2688"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Deliver short, structured one-to-one or small-group tuition in phonics, reading, writing and mathematics for pupils with diagnosed gaps. Support will be closely linked to classroom teaching, delivered by trained staff and reviewed against entry and exit criteria.</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EEF evidence on one-to-one and small-group tuition shows positive impact when support is targeted to specific need, delivered consistently and connected to normal lessons. Menu category: targeted academic support.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1, 3, 4</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Provide targeted speech, language and communication support for identified pupils, with staff training and liaison with specialist services where appropriate.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EEF evidence on oral-language interventions supports approaches focusing on speaking, listening, vocabulary and structured interaction. Menu category: targeted academic support.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1, 4</w:t>
            </w:r>
          </w:p>
        </w:tc>
      </w:tr>
    </w:tbl>
    <w:p w:rsidR="00E66558" w:rsidRDefault="00E66558" w:rsidP="00AA355B"/>
    <w:p w:rsidR="00E66558" w:rsidRPr="00AA355B" w:rsidRDefault="009D71E8" w:rsidP="00AA355B">
      <w:pPr>
        <w:pStyle w:val="Heading3"/>
      </w:pPr>
      <w:r>
        <w:t>Wider strategies (for example, related to attendance, behaviour, wellbeing)</w:t>
      </w:r>
    </w:p>
    <w:p w:rsidR="00E66558" w:rsidRDefault="009D71E8">
      <w:pPr>
        <w:spacing w:before="240" w:after="120"/>
      </w:pPr>
      <w:r>
        <w:t>Budgeted cost: £0 from pupil premium (attendance and enrichment activity will be delivered through existing staffing and wider school budgets; confirm before publication)</w:t>
      </w:r>
    </w:p>
    <w:tbl>
      <w:tblPr>
        <w:tblW w:w="5000" w:type="pct"/>
        <w:tblCellMar>
          <w:left w:w="10" w:type="dxa"/>
          <w:right w:w="10" w:type="dxa"/>
        </w:tblCellMar>
        <w:tblLook w:val="04A0" w:firstRow="1" w:lastRow="0" w:firstColumn="1" w:lastColumn="0" w:noHBand="0" w:noVBand="1"/>
      </w:tblPr>
      <w:tblGrid>
        <w:gridCol w:w="2799"/>
        <w:gridCol w:w="4431"/>
        <w:gridCol w:w="2650"/>
      </w:tblGrid>
      <w:tr w:rsidR="00E66558" w:rsidTr="00CA4421">
        <w:trPr>
          <w:tblHeader/>
        </w:trPr>
        <w:tc>
          <w:tcPr>
            <w:tcW w:w="2688"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Challenge number(s) addressed</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Embed the DfE's 'Working together to improve school attendance' expectations: accurate daily processes, early identification, regular analysis, individual support plans, purposeful work with families and escalation where support is unsuccessful.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DfE attendance guidance promotes a support-first, whole-school approach based on strong relationships, accurate data and early intervention. Menu category: wider strategies relating to attendance, behaviour and wellbeing.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2</w:t>
            </w:r>
          </w:p>
        </w:tc>
      </w:tr>
      <w:tr w:rsidR="00E66558">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Improve disadvantaged pupils' participation in enrichment and wider school life, removing cost or practical barriers where an identified need would otherwise limit access.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EEF guidance recommends diagnosing barriers and using wider strategies where they support attendance, wellbeing, engagement and improved educational outcomes. Menu category: wider strategies.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2, 3, 4</w:t>
            </w:r>
          </w:p>
        </w:tc>
      </w:tr>
    </w:tbl>
    <w:p w:rsidR="00E66558" w:rsidRDefault="00E66558">
      <w:pPr>
        <w:spacing w:before="240" w:after="0"/>
        <w:rPr>
          <w:b/>
          <w:bCs/>
          <w:color w:val="104F75"/>
          <w:sz w:val="28"/>
          <w:szCs w:val="28"/>
        </w:rPr>
      </w:pPr>
    </w:p>
    <w:p w:rsidR="00E66558" w:rsidRPr="00064366" w:rsidRDefault="009D71E8" w:rsidP="00064366">
      <w:pPr>
        <w:pStyle w:val="Heading1"/>
        <w:keepNext/>
      </w:pPr>
      <w:r w:rsidRPr="00064366">
        <w:lastRenderedPageBreak/>
        <w:t>Part B: Review of the previous academic year</w:t>
      </w:r>
    </w:p>
    <w:p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rsidR="00167D7E" w:rsidRDefault="0095100C">
            <w:pPr>
              <w:spacing w:after="0"/>
            </w:pPr>
            <w:r>
              <w:rPr>
                <w:sz w:val="19"/>
              </w:rPr>
              <w:t xml:space="preserve">Leaders reviewed the performance of disadvantaged pupils in 2025/26 using available national and internal assessment information, attendance and persistent-absence data, SEND and pastoral information, lesson visits, work scrutiny, and discussion with pupils, parents and staff. The school's latest three-year IDSR information indicated that disadvantaged outcomes compared favourably with relevant national comparators in some measures. </w:t>
            </w:r>
            <w:r>
              <w:rPr>
                <w:sz w:val="19"/>
              </w:rPr>
              <w:br/>
              <w:t>The review confirms that inclusive class teaching and additional support linked closely to classroom learning remain appropriate. It also identifies the need for greater precision: interventions will now have defined entry and exit criteria, baseline and review measures, named oversight, and checks on fidelity and curriculum access. Attendance will be monitored at pupil level so that emerging absence is addressed early.</w:t>
            </w:r>
            <w:r>
              <w:rPr>
                <w:sz w:val="19"/>
              </w:rPr>
              <w:br/>
            </w:r>
            <w:r>
              <w:rPr>
                <w:sz w:val="19"/>
              </w:rPr>
              <w:br/>
              <w:t>The strategy remains focused on language and communication, attendance, core attainment and the compounded barriers experienced by pupils who are both disadvantaged and have SEND. Governors will scrutinise delivery, spending and impact through termly monitoring. Validated 2025/26 national measures and the final 2026/27 allocation should be checked and, where needed, added before the statement is published.</w:t>
            </w:r>
          </w:p>
        </w:tc>
      </w:tr>
    </w:tbl>
    <w:p w:rsidR="00E66558" w:rsidRDefault="006D6372" w:rsidP="00A82A98">
      <w:pPr>
        <w:pStyle w:val="Heading2"/>
      </w:pPr>
      <w:r>
        <w:t>E</w:t>
      </w:r>
      <w:r w:rsidR="009D71E8">
        <w:t xml:space="preserve">xternally provided </w:t>
      </w:r>
      <w:r w:rsidR="009D71E8" w:rsidRPr="00781713">
        <w:t>programmes</w:t>
      </w:r>
    </w:p>
    <w:p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5015"/>
        <w:gridCol w:w="4865"/>
      </w:tblGrid>
      <w:tr w:rsidR="00E66558" w:rsidTr="00CA4421">
        <w:trPr>
          <w:tblHeader/>
        </w:trPr>
        <w:tc>
          <w:tcPr>
            <w:tcW w:w="4815"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9EAF2"/>
            <w:tcMar>
              <w:top w:w="0" w:type="dxa"/>
              <w:left w:w="108" w:type="dxa"/>
              <w:bottom w:w="0" w:type="dxa"/>
              <w:right w:w="108" w:type="dxa"/>
            </w:tcMar>
            <w:vAlign w:val="center"/>
          </w:tcPr>
          <w:p w:rsidR="00167D7E" w:rsidRDefault="0095100C">
            <w:pPr>
              <w:spacing w:after="0"/>
            </w:pPr>
            <w:r>
              <w:rPr>
                <w:b/>
                <w:sz w:val="19"/>
              </w:rPr>
              <w:t>Provider</w:t>
            </w:r>
          </w:p>
        </w:tc>
      </w:tr>
      <w:tr w:rsidR="00E66558">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White Rose Maths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White Rose Education</w:t>
            </w:r>
          </w:p>
        </w:tc>
      </w:tr>
      <w:tr w:rsidR="00E66558">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Teaching for Mastery professional development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Local Maths Hub / NCETM</w:t>
            </w:r>
          </w:p>
        </w:tc>
      </w:tr>
    </w:tbl>
    <w:p w:rsidR="00E66558" w:rsidRDefault="00E66558" w:rsidP="0008384B"/>
    <w:p w:rsidR="0008384B" w:rsidRDefault="0008384B" w:rsidP="0008384B"/>
    <w:p w:rsidR="0008384B" w:rsidRDefault="0008384B" w:rsidP="0008384B"/>
    <w:p w:rsidR="0008384B" w:rsidRDefault="0008384B" w:rsidP="0008384B"/>
    <w:p w:rsidR="0008384B" w:rsidRPr="0008384B" w:rsidRDefault="0008384B" w:rsidP="0008384B">
      <w:pPr>
        <w:pStyle w:val="Heading2"/>
      </w:pPr>
      <w:r w:rsidRPr="0008384B">
        <w:t>Service pupil premium funding (optional)</w:t>
      </w:r>
    </w:p>
    <w:tbl>
      <w:tblPr>
        <w:tblStyle w:val="TableGrid"/>
        <w:tblW w:w="0" w:type="auto"/>
        <w:tblLook w:val="04A0" w:firstRow="1" w:lastRow="0" w:firstColumn="1" w:lastColumn="0" w:noHBand="0" w:noVBand="1"/>
      </w:tblPr>
      <w:tblGrid>
        <w:gridCol w:w="9486"/>
      </w:tblGrid>
      <w:tr w:rsidR="00ED5108" w:rsidTr="00CA4421">
        <w:tc>
          <w:tcPr>
            <w:tcW w:w="9486" w:type="dxa"/>
            <w:shd w:val="clear" w:color="auto" w:fill="CFDCE3"/>
          </w:tcPr>
          <w:p w:rsidR="00ED5108" w:rsidRPr="00E86F05" w:rsidRDefault="009D71E8" w:rsidP="00F54FCB">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rsidTr="00ED5108">
        <w:tc>
          <w:tcPr>
            <w:tcW w:w="9486" w:type="dxa"/>
            <w:vAlign w:val="center"/>
          </w:tcPr>
          <w:p w:rsidR="00167D7E" w:rsidRDefault="0095100C">
            <w:pPr>
              <w:spacing w:after="0"/>
            </w:pPr>
            <w:r>
              <w:rPr>
                <w:sz w:val="19"/>
              </w:rPr>
              <w:t xml:space="preserve">Not applicable </w:t>
            </w:r>
          </w:p>
        </w:tc>
      </w:tr>
      <w:tr w:rsidR="00ED5108" w:rsidTr="00CA4421">
        <w:tc>
          <w:tcPr>
            <w:tcW w:w="9486" w:type="dxa"/>
            <w:shd w:val="clear" w:color="auto" w:fill="CFDCE3"/>
          </w:tcPr>
          <w:p w:rsidR="00ED5108" w:rsidRPr="00E86F05" w:rsidRDefault="00ED5108" w:rsidP="00F54FCB">
            <w:pPr>
              <w:spacing w:before="60" w:after="60"/>
              <w:rPr>
                <w:b/>
                <w:bCs/>
              </w:rPr>
            </w:pPr>
            <w:r w:rsidRPr="00E86F05">
              <w:rPr>
                <w:b/>
                <w:bCs/>
                <w:color w:val="000000"/>
                <w:szCs w:val="28"/>
              </w:rPr>
              <w:t>The impact of that spending on service pupil premium eligible pupils</w:t>
            </w:r>
          </w:p>
        </w:tc>
      </w:tr>
      <w:tr w:rsidR="00ED5108" w:rsidTr="00ED5108">
        <w:tc>
          <w:tcPr>
            <w:tcW w:w="9486" w:type="dxa"/>
            <w:vAlign w:val="center"/>
          </w:tcPr>
          <w:p w:rsidR="00167D7E" w:rsidRDefault="0095100C">
            <w:pPr>
              <w:spacing w:after="0"/>
            </w:pPr>
            <w:r>
              <w:rPr>
                <w:sz w:val="19"/>
              </w:rPr>
              <w:t xml:space="preserve">Not applicable </w:t>
            </w:r>
          </w:p>
        </w:tc>
      </w:tr>
    </w:tbl>
    <w:p w:rsidR="00E66558" w:rsidRDefault="00E66558">
      <w:pPr>
        <w:spacing w:after="0" w:line="240" w:lineRule="auto"/>
      </w:pPr>
    </w:p>
    <w:p w:rsidR="00E66558" w:rsidRDefault="009D71E8">
      <w:pPr>
        <w:pStyle w:val="Heading1"/>
        <w:keepNext/>
      </w:pPr>
      <w:r>
        <w:lastRenderedPageBreak/>
        <w:t xml:space="preserve">Further information </w:t>
      </w:r>
    </w:p>
    <w:tbl>
      <w:tblPr>
        <w:tblW w:w="9486" w:type="dxa"/>
        <w:tblCellMar>
          <w:left w:w="10" w:type="dxa"/>
          <w:right w:w="10" w:type="dxa"/>
        </w:tblCellMar>
        <w:tblLook w:val="04A0" w:firstRow="1" w:lastRow="0" w:firstColumn="1" w:lastColumn="0" w:noHBand="0" w:noVBand="1"/>
      </w:tblPr>
      <w:tblGrid>
        <w:gridCol w:w="9486"/>
      </w:tblGrid>
      <w:tr w:rsidR="00E66558">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7D7E" w:rsidRDefault="0095100C">
            <w:pPr>
              <w:spacing w:after="0"/>
            </w:pPr>
            <w:r>
              <w:rPr>
                <w:sz w:val="19"/>
              </w:rPr>
              <w:t>Implementation and monitoring</w:t>
            </w:r>
            <w:r>
              <w:rPr>
                <w:sz w:val="19"/>
              </w:rPr>
              <w:br/>
              <w:t>The headteacher and pupil premium lead will maintain an implementation and monitoring record. Each term, leaders and the link governor will review: whether activity was delivered as intended; attendance and persistent absence; assessment and progress from starting points; intervention entry, exit and impact information; pupil participation; pupil and family voice; and expenditure against budget. Adjustments will be recorded with reasons.</w:t>
            </w:r>
            <w:r>
              <w:rPr>
                <w:sz w:val="19"/>
              </w:rPr>
              <w:br/>
            </w:r>
            <w:r>
              <w:rPr>
                <w:sz w:val="19"/>
              </w:rPr>
              <w:br/>
              <w:t>Evidence sources</w:t>
            </w:r>
            <w:r>
              <w:rPr>
                <w:sz w:val="19"/>
              </w:rPr>
              <w:br/>
              <w:t>Key evidence informing this strategy includes DfE pupil premium guidance and the menu of approaches; the 2026/27 conditions of grant; EEF guidance on pupil premium, implementation, oral language, literacy, mathematics, diagnostic assessment and tuition; DfE mathematics guidance; and 'Working together to improve school attendance'.</w:t>
            </w:r>
          </w:p>
        </w:tc>
      </w:tr>
      <w:bookmarkEnd w:id="1"/>
      <w:bookmarkEnd w:id="2"/>
    </w:tbl>
    <w:p w:rsidR="00E66558" w:rsidRDefault="00E66558"/>
    <w:sectPr w:rsidR="00E66558">
      <w:headerReference w:type="default" r:id="rId7"/>
      <w:footerReference w:type="default" r:id="rId8"/>
      <w:pgSz w:w="11906" w:h="16838"/>
      <w:pgMar w:top="1008" w:right="1008" w:bottom="1008" w:left="100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35CF" w:rsidRDefault="003A35CF">
      <w:pPr>
        <w:spacing w:after="0" w:line="240" w:lineRule="auto"/>
      </w:pPr>
      <w:r>
        <w:separator/>
      </w:r>
    </w:p>
  </w:endnote>
  <w:endnote w:type="continuationSeparator" w:id="0">
    <w:p w:rsidR="003A35CF" w:rsidRDefault="003A35CF">
      <w:pPr>
        <w:spacing w:after="0" w:line="240" w:lineRule="auto"/>
      </w:pPr>
      <w:r>
        <w:continuationSeparator/>
      </w:r>
    </w:p>
  </w:endnote>
  <w:endnote w:type="continuationNotice" w:id="1">
    <w:p w:rsidR="003A35CF" w:rsidRDefault="003A35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3AE" w:rsidRDefault="003A35CF">
    <w:pPr>
      <w:pStyle w:val="Footer"/>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35CF" w:rsidRDefault="003A35CF">
      <w:pPr>
        <w:spacing w:after="0" w:line="240" w:lineRule="auto"/>
      </w:pPr>
      <w:r>
        <w:separator/>
      </w:r>
    </w:p>
  </w:footnote>
  <w:footnote w:type="continuationSeparator" w:id="0">
    <w:p w:rsidR="003A35CF" w:rsidRDefault="003A35CF">
      <w:pPr>
        <w:spacing w:after="0" w:line="240" w:lineRule="auto"/>
      </w:pPr>
      <w:r>
        <w:continuationSeparator/>
      </w:r>
    </w:p>
  </w:footnote>
  <w:footnote w:type="continuationNotice" w:id="1">
    <w:p w:rsidR="003A35CF" w:rsidRDefault="003A35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3"/>
  </w:num>
  <w:num w:numId="3">
    <w:abstractNumId w:val="6"/>
  </w:num>
  <w:num w:numId="4">
    <w:abstractNumId w:val="7"/>
  </w:num>
  <w:num w:numId="5">
    <w:abstractNumId w:val="0"/>
  </w:num>
  <w:num w:numId="6">
    <w:abstractNumId w:val="8"/>
  </w:num>
  <w:num w:numId="7">
    <w:abstractNumId w:val="12"/>
  </w:num>
  <w:num w:numId="8">
    <w:abstractNumId w:val="16"/>
  </w:num>
  <w:num w:numId="9">
    <w:abstractNumId w:val="14"/>
  </w:num>
  <w:num w:numId="10">
    <w:abstractNumId w:val="13"/>
  </w:num>
  <w:num w:numId="11">
    <w:abstractNumId w:val="4"/>
  </w:num>
  <w:num w:numId="12">
    <w:abstractNumId w:val="15"/>
  </w:num>
  <w:num w:numId="13">
    <w:abstractNumId w:val="11"/>
  </w:num>
  <w:num w:numId="14">
    <w:abstractNumId w:val="9"/>
  </w:num>
  <w:num w:numId="15">
    <w:abstractNumId w:val="2"/>
  </w:num>
  <w:num w:numId="16">
    <w:abstractNumId w:val="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5440"/>
    <w:rsid w:val="00036678"/>
    <w:rsid w:val="000452EB"/>
    <w:rsid w:val="00045603"/>
    <w:rsid w:val="000463AE"/>
    <w:rsid w:val="000507A3"/>
    <w:rsid w:val="00060A62"/>
    <w:rsid w:val="00064366"/>
    <w:rsid w:val="00066B73"/>
    <w:rsid w:val="00071481"/>
    <w:rsid w:val="00071D77"/>
    <w:rsid w:val="00075FAE"/>
    <w:rsid w:val="00082F38"/>
    <w:rsid w:val="000837DB"/>
    <w:rsid w:val="0008384B"/>
    <w:rsid w:val="00087FD6"/>
    <w:rsid w:val="000929EC"/>
    <w:rsid w:val="00093CDE"/>
    <w:rsid w:val="000A5C58"/>
    <w:rsid w:val="000A6379"/>
    <w:rsid w:val="000B0D49"/>
    <w:rsid w:val="000B203E"/>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523C"/>
    <w:rsid w:val="001671ED"/>
    <w:rsid w:val="00167D7E"/>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13AE"/>
    <w:rsid w:val="00276FBA"/>
    <w:rsid w:val="00277665"/>
    <w:rsid w:val="002837AE"/>
    <w:rsid w:val="00287FA8"/>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6CB7"/>
    <w:rsid w:val="00307ABF"/>
    <w:rsid w:val="003111F5"/>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35CF"/>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6FBC"/>
    <w:rsid w:val="005879C9"/>
    <w:rsid w:val="00594CAD"/>
    <w:rsid w:val="005A1D0B"/>
    <w:rsid w:val="005A3C6B"/>
    <w:rsid w:val="005B1EA5"/>
    <w:rsid w:val="005C0BBD"/>
    <w:rsid w:val="005C54A0"/>
    <w:rsid w:val="005C573D"/>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A06F5"/>
    <w:rsid w:val="006A0ED2"/>
    <w:rsid w:val="006B0A73"/>
    <w:rsid w:val="006B5A6B"/>
    <w:rsid w:val="006C0F82"/>
    <w:rsid w:val="006C25E8"/>
    <w:rsid w:val="006C332E"/>
    <w:rsid w:val="006C3473"/>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17232"/>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A63CA"/>
    <w:rsid w:val="007A713B"/>
    <w:rsid w:val="007A7DA0"/>
    <w:rsid w:val="007B64E5"/>
    <w:rsid w:val="007C2F04"/>
    <w:rsid w:val="007F06E5"/>
    <w:rsid w:val="007F5B8B"/>
    <w:rsid w:val="00805BC0"/>
    <w:rsid w:val="00814FB9"/>
    <w:rsid w:val="00817E9A"/>
    <w:rsid w:val="00827786"/>
    <w:rsid w:val="00827BDA"/>
    <w:rsid w:val="00830D57"/>
    <w:rsid w:val="00831F00"/>
    <w:rsid w:val="00850CA0"/>
    <w:rsid w:val="00852A2F"/>
    <w:rsid w:val="008608EE"/>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0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31E1"/>
    <w:rsid w:val="00B4532A"/>
    <w:rsid w:val="00B47C66"/>
    <w:rsid w:val="00B572C4"/>
    <w:rsid w:val="00B60858"/>
    <w:rsid w:val="00B60D69"/>
    <w:rsid w:val="00B618FC"/>
    <w:rsid w:val="00B6234E"/>
    <w:rsid w:val="00B74D4E"/>
    <w:rsid w:val="00B80219"/>
    <w:rsid w:val="00B87184"/>
    <w:rsid w:val="00B91453"/>
    <w:rsid w:val="00BA19A5"/>
    <w:rsid w:val="00BB2907"/>
    <w:rsid w:val="00BB6902"/>
    <w:rsid w:val="00BC078B"/>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5BFE"/>
    <w:rsid w:val="00C373EA"/>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97A7F"/>
    <w:rsid w:val="00CA4421"/>
    <w:rsid w:val="00CA5363"/>
    <w:rsid w:val="00CA7D07"/>
    <w:rsid w:val="00CB24A4"/>
    <w:rsid w:val="00CB5B17"/>
    <w:rsid w:val="00CB6AA0"/>
    <w:rsid w:val="00CC4443"/>
    <w:rsid w:val="00CC5CAF"/>
    <w:rsid w:val="00CE7E1B"/>
    <w:rsid w:val="00D04F25"/>
    <w:rsid w:val="00D06874"/>
    <w:rsid w:val="00D07530"/>
    <w:rsid w:val="00D07FCB"/>
    <w:rsid w:val="00D173F7"/>
    <w:rsid w:val="00D20203"/>
    <w:rsid w:val="00D204E0"/>
    <w:rsid w:val="00D21354"/>
    <w:rsid w:val="00D22400"/>
    <w:rsid w:val="00D23F4A"/>
    <w:rsid w:val="00D242D0"/>
    <w:rsid w:val="00D264E2"/>
    <w:rsid w:val="00D278BA"/>
    <w:rsid w:val="00D33FE5"/>
    <w:rsid w:val="00D348C0"/>
    <w:rsid w:val="00D3578A"/>
    <w:rsid w:val="00D43A15"/>
    <w:rsid w:val="00D4463C"/>
    <w:rsid w:val="00D46182"/>
    <w:rsid w:val="00D46C7D"/>
    <w:rsid w:val="00D501EE"/>
    <w:rsid w:val="00D517DC"/>
    <w:rsid w:val="00D5360D"/>
    <w:rsid w:val="00D5590D"/>
    <w:rsid w:val="00D572BE"/>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F2015"/>
    <w:rsid w:val="00E061EC"/>
    <w:rsid w:val="00E0696B"/>
    <w:rsid w:val="00E10E81"/>
    <w:rsid w:val="00E13E51"/>
    <w:rsid w:val="00E21F56"/>
    <w:rsid w:val="00E3014F"/>
    <w:rsid w:val="00E4286E"/>
    <w:rsid w:val="00E43EAD"/>
    <w:rsid w:val="00E62DCB"/>
    <w:rsid w:val="00E651DD"/>
    <w:rsid w:val="00E66558"/>
    <w:rsid w:val="00E70D81"/>
    <w:rsid w:val="00E726A6"/>
    <w:rsid w:val="00E73418"/>
    <w:rsid w:val="00E8109E"/>
    <w:rsid w:val="00E85C23"/>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B04CB"/>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Cs w:val="24"/>
    </w:rPr>
  </w:style>
  <w:style w:type="paragraph" w:styleId="Heading1">
    <w:name w:val="heading 1"/>
    <w:basedOn w:val="Normal"/>
    <w:next w:val="Normal"/>
    <w:uiPriority w:val="9"/>
    <w:qFormat/>
    <w:pPr>
      <w:pageBreakBefore/>
      <w:spacing w:line="240" w:lineRule="auto"/>
      <w:outlineLvl w:val="0"/>
    </w:pPr>
    <w:rPr>
      <w:b/>
      <w:color w:val="1F4E79"/>
      <w:sz w:val="36"/>
    </w:rPr>
  </w:style>
  <w:style w:type="paragraph" w:styleId="Heading2">
    <w:name w:val="heading 2"/>
    <w:basedOn w:val="Normal"/>
    <w:next w:val="Normal"/>
    <w:uiPriority w:val="9"/>
    <w:unhideWhenUsed/>
    <w:qFormat/>
    <w:pPr>
      <w:keepNext/>
      <w:spacing w:before="480" w:line="240" w:lineRule="auto"/>
      <w:outlineLvl w:val="1"/>
    </w:pPr>
    <w:rPr>
      <w:b/>
      <w:color w:val="1F4E79"/>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F4E79"/>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Farren, Jane</cp:lastModifiedBy>
  <cp:revision>2</cp:revision>
  <cp:lastPrinted>2014-09-18T05:26:00Z</cp:lastPrinted>
  <dcterms:created xsi:type="dcterms:W3CDTF">2026-09-02T07:21:00Z</dcterms:created>
  <dcterms:modified xsi:type="dcterms:W3CDTF">2026-09-02T07:21:00Z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